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EA" w:rsidRDefault="007B03EA" w:rsidP="007B03EA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7B03EA" w:rsidRDefault="007B03EA" w:rsidP="007B03EA">
      <w:pPr>
        <w:rPr>
          <w:rFonts w:hint="eastAsia"/>
        </w:rPr>
      </w:pPr>
    </w:p>
    <w:p w:rsidR="007B03EA" w:rsidRDefault="007B03EA" w:rsidP="007B03EA">
      <w:pPr>
        <w:jc w:val="center"/>
        <w:rPr>
          <w:rFonts w:hint="eastAsia"/>
        </w:rPr>
      </w:pPr>
      <w:r w:rsidRPr="0041475C">
        <w:rPr>
          <w:rFonts w:ascii="color:#000000;" w:eastAsia="微软雅黑" w:hAnsi="color:#000000;" w:cs="宋体"/>
          <w:color w:val="525252"/>
          <w:kern w:val="0"/>
          <w:sz w:val="27"/>
          <w:szCs w:val="27"/>
        </w:rPr>
        <w:t>201</w:t>
      </w:r>
      <w:r>
        <w:rPr>
          <w:rFonts w:ascii="color:#000000;" w:eastAsia="微软雅黑" w:hAnsi="color:#000000;" w:cs="宋体" w:hint="eastAsia"/>
          <w:color w:val="525252"/>
          <w:kern w:val="0"/>
          <w:sz w:val="27"/>
          <w:szCs w:val="27"/>
        </w:rPr>
        <w:t>8</w:t>
      </w:r>
      <w:r w:rsidRPr="0041475C">
        <w:rPr>
          <w:rFonts w:ascii="color:#000000;" w:eastAsia="微软雅黑" w:hAnsi="color:#000000;" w:cs="宋体"/>
          <w:color w:val="525252"/>
          <w:kern w:val="0"/>
          <w:sz w:val="27"/>
          <w:szCs w:val="27"/>
        </w:rPr>
        <w:t>年</w:t>
      </w:r>
      <w:r>
        <w:rPr>
          <w:rFonts w:ascii="color:#000000;" w:eastAsia="微软雅黑" w:hAnsi="color:#000000;" w:cs="宋体" w:hint="eastAsia"/>
          <w:color w:val="525252"/>
          <w:kern w:val="0"/>
          <w:sz w:val="27"/>
          <w:szCs w:val="27"/>
        </w:rPr>
        <w:t>1</w:t>
      </w:r>
      <w:r w:rsidRPr="0041475C">
        <w:rPr>
          <w:rFonts w:ascii="color:#000000;" w:eastAsia="微软雅黑" w:hAnsi="color:#000000;" w:cs="宋体"/>
          <w:color w:val="525252"/>
          <w:kern w:val="0"/>
          <w:sz w:val="27"/>
          <w:szCs w:val="27"/>
        </w:rPr>
        <w:t>月立项</w:t>
      </w:r>
      <w:r w:rsidRPr="00256FC2">
        <w:rPr>
          <w:rFonts w:ascii="微软雅黑" w:eastAsia="微软雅黑" w:hAnsi="微软雅黑" w:cs="宋体" w:hint="eastAsia"/>
          <w:bCs/>
          <w:color w:val="525252"/>
          <w:kern w:val="0"/>
          <w:sz w:val="27"/>
          <w:szCs w:val="27"/>
        </w:rPr>
        <w:t>MPA案例库建设</w:t>
      </w:r>
      <w:r w:rsidRPr="0041475C">
        <w:rPr>
          <w:rFonts w:ascii="color:#000000;" w:eastAsia="微软雅黑" w:hAnsi="color:#000000;" w:cs="宋体"/>
          <w:color w:val="525252"/>
          <w:kern w:val="0"/>
          <w:sz w:val="27"/>
          <w:szCs w:val="27"/>
        </w:rPr>
        <w:t>项目一览表</w:t>
      </w:r>
    </w:p>
    <w:tbl>
      <w:tblPr>
        <w:tblW w:w="139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1276"/>
        <w:gridCol w:w="4677"/>
        <w:gridCol w:w="7146"/>
      </w:tblGrid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</w:tr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孙怀平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农村拆迁：由抵制到配合的转变</w:t>
            </w:r>
          </w:p>
        </w:tc>
      </w:tr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向玉琼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公共政策的公共性何以发生偏离：以北京清除“低端人口”政策为例</w:t>
            </w:r>
          </w:p>
        </w:tc>
      </w:tr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郑永兰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一场大雪检验下的政府工程：合肥BRT公交站台顶板倒塌事故</w:t>
            </w:r>
          </w:p>
        </w:tc>
      </w:tr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姜海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土地发展权计划配置方式地方改革创新</w:t>
            </w:r>
          </w:p>
        </w:tc>
      </w:tr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姜海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主体功能区土地利用总体规划的地方探索-以淮安市白马湖为例</w:t>
            </w:r>
          </w:p>
        </w:tc>
      </w:tr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吴未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新时代大城市区级政府“放管服”改革案例分析</w:t>
            </w:r>
          </w:p>
        </w:tc>
      </w:tr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徐军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“小疏忽”引出大问题：“同一天生日”事件对互联网公益的启示</w:t>
            </w:r>
          </w:p>
        </w:tc>
      </w:tr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诸培新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农村流转中的地方政府干预之手该如何伸？-以宿迁泗洪为例</w:t>
            </w:r>
          </w:p>
        </w:tc>
      </w:tr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吴春涛（20175049080）</w:t>
            </w: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-指导老师刘晓光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失衡的钟摆如何复位--山东滨州市医闹事件引发的思考</w:t>
            </w:r>
          </w:p>
        </w:tc>
      </w:tr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王渊洁（20175409025）</w:t>
            </w: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-指导老师于水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天泉湖之殇-以天泉湖周边土地流转、征收事件为例</w:t>
            </w:r>
          </w:p>
        </w:tc>
      </w:tr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林森（20175409174）</w:t>
            </w: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-指导老师周蕾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政务APP变“僵尸APP”-“互联网＋政务服务”初心何在</w:t>
            </w:r>
          </w:p>
        </w:tc>
      </w:tr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马颖睿（20175409119）</w:t>
            </w: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-指导老师于水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桃江中学肺结核之殇-社会公共卫生事件中的政府职责</w:t>
            </w:r>
          </w:p>
        </w:tc>
      </w:tr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颜立强（20125409063）</w:t>
            </w: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-指导老师于水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“舌尖安全”容忍的底线在哪里？-“海底捞”后厨曝光后的沉思</w:t>
            </w:r>
          </w:p>
        </w:tc>
      </w:tr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于响（20155409063）</w:t>
            </w: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-指导老师周蕾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严重精神病患政府托底救助可行吗？-盐城市的案例研究</w:t>
            </w:r>
          </w:p>
        </w:tc>
      </w:tr>
      <w:tr w:rsidR="007B03EA" w:rsidRPr="00BB1492" w:rsidTr="005928B4">
        <w:trPr>
          <w:trHeight w:val="420"/>
          <w:tblCellSpacing w:w="0" w:type="dxa"/>
        </w:trPr>
        <w:tc>
          <w:tcPr>
            <w:tcW w:w="861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677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刘岩（2016809086）</w:t>
            </w: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--指导老师周蕾</w:t>
            </w:r>
          </w:p>
        </w:tc>
        <w:tc>
          <w:tcPr>
            <w:tcW w:w="7146" w:type="dxa"/>
            <w:vAlign w:val="center"/>
            <w:hideMark/>
          </w:tcPr>
          <w:p w:rsidR="007B03EA" w:rsidRPr="00BB1492" w:rsidRDefault="007B03EA" w:rsidP="005928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B149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乡村振兴与农业园区融合发展的征地与规划问题研究-以N市农业园区为例</w:t>
            </w:r>
          </w:p>
        </w:tc>
      </w:tr>
    </w:tbl>
    <w:p w:rsidR="007B03EA" w:rsidRPr="00BB1492" w:rsidRDefault="007B03EA" w:rsidP="007B03EA">
      <w:pPr>
        <w:rPr>
          <w:rFonts w:hint="eastAsia"/>
        </w:rPr>
      </w:pPr>
    </w:p>
    <w:p w:rsidR="00F71320" w:rsidRPr="007B03EA" w:rsidRDefault="00F71320"/>
    <w:sectPr w:rsidR="00F71320" w:rsidRPr="007B03EA" w:rsidSect="007B03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lor:#000000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3EA"/>
    <w:rsid w:val="007B03EA"/>
    <w:rsid w:val="00F7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>Lenovo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2018-12-27T02:17:00Z</dcterms:created>
  <dcterms:modified xsi:type="dcterms:W3CDTF">2018-12-27T02:17:00Z</dcterms:modified>
</cp:coreProperties>
</file>